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A" w:rsidRDefault="009E05FA" w:rsidP="00803436">
      <w:pPr>
        <w:pStyle w:val="Corpsdetexte"/>
        <w:spacing w:before="240"/>
        <w:ind w:left="142" w:right="28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803436" w:rsidRPr="00850CD2" w:rsidRDefault="00803436" w:rsidP="00803436">
      <w:pPr>
        <w:pStyle w:val="Corpsdetexte"/>
        <w:spacing w:before="240"/>
        <w:ind w:left="142" w:right="28"/>
        <w:jc w:val="both"/>
        <w:rPr>
          <w:rFonts w:ascii="Arial" w:hAnsi="Arial" w:cs="Arial"/>
          <w:sz w:val="20"/>
          <w:szCs w:val="20"/>
          <w:lang w:val="fr-CA"/>
        </w:rPr>
      </w:pPr>
      <w:r w:rsidRPr="00850CD2">
        <w:rPr>
          <w:rFonts w:ascii="Arial" w:hAnsi="Arial" w:cs="Arial"/>
          <w:b/>
          <w:bCs/>
          <w:sz w:val="20"/>
          <w:szCs w:val="20"/>
          <w:lang w:val="fr-CA"/>
        </w:rPr>
        <w:t xml:space="preserve">Le Centre universitaire d’ophtalmologie </w:t>
      </w:r>
      <w:r w:rsidRPr="00850CD2">
        <w:rPr>
          <w:rFonts w:ascii="Arial" w:hAnsi="Arial" w:cs="Arial"/>
          <w:sz w:val="20"/>
          <w:szCs w:val="20"/>
          <w:lang w:val="fr-CA"/>
        </w:rPr>
        <w:t>recrute a</w:t>
      </w:r>
      <w:r w:rsidR="009E05FA">
        <w:rPr>
          <w:rFonts w:ascii="Arial" w:hAnsi="Arial" w:cs="Arial"/>
          <w:sz w:val="20"/>
          <w:szCs w:val="20"/>
          <w:lang w:val="fr-CA"/>
        </w:rPr>
        <w:t>ctuellement un(e) coordonnateur</w:t>
      </w:r>
      <w:r w:rsidRPr="00850CD2">
        <w:rPr>
          <w:rFonts w:ascii="Arial" w:hAnsi="Arial" w:cs="Arial"/>
          <w:sz w:val="20"/>
          <w:szCs w:val="20"/>
          <w:lang w:val="fr-CA"/>
        </w:rPr>
        <w:t>(</w:t>
      </w:r>
      <w:proofErr w:type="spellStart"/>
      <w:r w:rsidRPr="00850CD2">
        <w:rPr>
          <w:rFonts w:ascii="Arial" w:hAnsi="Arial" w:cs="Arial"/>
          <w:sz w:val="20"/>
          <w:szCs w:val="20"/>
          <w:lang w:val="fr-CA"/>
        </w:rPr>
        <w:t>trice</w:t>
      </w:r>
      <w:proofErr w:type="spellEnd"/>
      <w:r w:rsidRPr="00850CD2">
        <w:rPr>
          <w:rFonts w:ascii="Arial" w:hAnsi="Arial" w:cs="Arial"/>
          <w:sz w:val="20"/>
          <w:szCs w:val="20"/>
          <w:lang w:val="fr-CA"/>
        </w:rPr>
        <w:t xml:space="preserve">) </w:t>
      </w:r>
      <w:r w:rsidR="009E05FA">
        <w:rPr>
          <w:rFonts w:ascii="Arial" w:hAnsi="Arial" w:cs="Arial"/>
          <w:sz w:val="20"/>
          <w:szCs w:val="20"/>
          <w:lang w:val="fr-CA"/>
        </w:rPr>
        <w:softHyphen/>
      </w:r>
      <w:r w:rsidRPr="00850CD2">
        <w:rPr>
          <w:rFonts w:ascii="Arial" w:hAnsi="Arial" w:cs="Arial"/>
          <w:sz w:val="20"/>
          <w:szCs w:val="20"/>
          <w:lang w:val="fr-CA"/>
        </w:rPr>
        <w:t xml:space="preserve">de recherche clinique pour assurer la mise en place et la réalisation de projets de recherche et d’essais cliniques en </w:t>
      </w:r>
      <w:r>
        <w:rPr>
          <w:rFonts w:ascii="Arial" w:hAnsi="Arial" w:cs="Arial"/>
          <w:sz w:val="20"/>
          <w:szCs w:val="20"/>
          <w:lang w:val="fr-CA"/>
        </w:rPr>
        <w:t>lien avec les maladies de l’orbite</w:t>
      </w:r>
      <w:r w:rsidRPr="00850CD2">
        <w:rPr>
          <w:rFonts w:ascii="Arial" w:hAnsi="Arial" w:cs="Arial"/>
          <w:sz w:val="20"/>
          <w:szCs w:val="20"/>
          <w:lang w:val="fr-CA"/>
        </w:rPr>
        <w:t xml:space="preserve">, les maladies rétiniennes et </w:t>
      </w:r>
      <w:r w:rsidR="00D01564">
        <w:rPr>
          <w:rFonts w:ascii="Arial" w:hAnsi="Arial" w:cs="Arial"/>
          <w:sz w:val="20"/>
          <w:szCs w:val="20"/>
          <w:lang w:val="fr-CA"/>
        </w:rPr>
        <w:t xml:space="preserve">les maladies </w:t>
      </w:r>
      <w:r w:rsidRPr="00850CD2">
        <w:rPr>
          <w:rFonts w:ascii="Arial" w:hAnsi="Arial" w:cs="Arial"/>
          <w:sz w:val="20"/>
          <w:szCs w:val="20"/>
          <w:lang w:val="fr-CA"/>
        </w:rPr>
        <w:t xml:space="preserve">inflammatoires </w:t>
      </w:r>
      <w:r w:rsidR="00D01564">
        <w:rPr>
          <w:rFonts w:ascii="Arial" w:hAnsi="Arial" w:cs="Arial"/>
          <w:sz w:val="20"/>
          <w:szCs w:val="20"/>
          <w:lang w:val="fr-CA"/>
        </w:rPr>
        <w:t xml:space="preserve">et infectieuses </w:t>
      </w:r>
      <w:r w:rsidRPr="00850CD2">
        <w:rPr>
          <w:rFonts w:ascii="Arial" w:hAnsi="Arial" w:cs="Arial"/>
          <w:sz w:val="20"/>
          <w:szCs w:val="20"/>
          <w:lang w:val="fr-CA"/>
        </w:rPr>
        <w:t>de l’œil et autres projets en ophtalmologie</w:t>
      </w:r>
    </w:p>
    <w:p w:rsidR="00803436" w:rsidRPr="0039629A" w:rsidRDefault="00803436" w:rsidP="00803436">
      <w:pPr>
        <w:pStyle w:val="Titre1"/>
        <w:spacing w:before="240"/>
        <w:ind w:left="142" w:right="28"/>
        <w:jc w:val="both"/>
        <w:rPr>
          <w:rFonts w:ascii="Arial" w:hAnsi="Arial" w:cs="Arial"/>
          <w:b/>
          <w:i w:val="0"/>
          <w:color w:val="365F91" w:themeColor="accent1" w:themeShade="BF"/>
          <w:sz w:val="20"/>
          <w:szCs w:val="20"/>
          <w:u w:val="single"/>
          <w:lang w:val="fr-CA"/>
        </w:rPr>
      </w:pPr>
      <w:r w:rsidRPr="0039629A">
        <w:rPr>
          <w:rFonts w:ascii="Arial" w:hAnsi="Arial" w:cs="Arial"/>
          <w:b/>
          <w:i w:val="0"/>
          <w:color w:val="365F91" w:themeColor="accent1" w:themeShade="BF"/>
          <w:spacing w:val="1"/>
          <w:sz w:val="20"/>
          <w:szCs w:val="20"/>
          <w:u w:val="single"/>
          <w:lang w:val="fr-CA"/>
        </w:rPr>
        <w:t>D</w:t>
      </w:r>
      <w:r w:rsidRPr="0039629A">
        <w:rPr>
          <w:rFonts w:ascii="Arial" w:hAnsi="Arial" w:cs="Arial"/>
          <w:b/>
          <w:i w:val="0"/>
          <w:color w:val="365F91" w:themeColor="accent1" w:themeShade="BF"/>
          <w:sz w:val="20"/>
          <w:szCs w:val="20"/>
          <w:u w:val="single"/>
          <w:lang w:val="fr-CA"/>
        </w:rPr>
        <w:t>escription des tâches</w:t>
      </w:r>
    </w:p>
    <w:p w:rsidR="00803436" w:rsidRPr="0039629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color w:val="000000"/>
          <w:sz w:val="20"/>
          <w:szCs w:val="20"/>
          <w:lang w:val="fr-CA"/>
        </w:rPr>
      </w:pPr>
      <w:r w:rsidRPr="00850CD2">
        <w:rPr>
          <w:rFonts w:asciiTheme="minorBidi" w:hAnsiTheme="minorBidi"/>
          <w:sz w:val="20"/>
          <w:szCs w:val="20"/>
          <w:shd w:val="clear" w:color="auto" w:fill="FFFFFF"/>
          <w:lang w:val="fr-CA"/>
        </w:rPr>
        <w:t>Assister à la préparation et</w:t>
      </w:r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 à</w:t>
      </w:r>
      <w:r w:rsidRPr="00850CD2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 la soumission de documents d’éthique pour les nouvell</w:t>
      </w:r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es études avec l’industrie et</w:t>
      </w:r>
      <w:r w:rsidRPr="00850CD2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 mise à jour de ces documents pour les études en cours</w:t>
      </w:r>
    </w:p>
    <w:p w:rsidR="00D01564" w:rsidRPr="00850CD2" w:rsidRDefault="00803436" w:rsidP="00D01564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="Arial" w:hAnsi="Arial" w:cs="Arial"/>
          <w:color w:val="000000"/>
          <w:sz w:val="20"/>
          <w:szCs w:val="20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Assister à la préparation et </w:t>
      </w:r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à </w:t>
      </w: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la soumission de documents d’éthique pour les nouvelles</w:t>
      </w:r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 é</w:t>
      </w: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tudes académiques</w:t>
      </w:r>
      <w:r w:rsidR="00D01564" w:rsidRPr="00D01564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 </w:t>
      </w:r>
    </w:p>
    <w:p w:rsidR="00803436" w:rsidRDefault="00D01564" w:rsidP="009E05FA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Gestion des priorités</w:t>
      </w:r>
    </w:p>
    <w:p w:rsidR="00D01564" w:rsidRPr="00D01564" w:rsidRDefault="00D01564" w:rsidP="00D01564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>
        <w:rPr>
          <w:rFonts w:asciiTheme="minorBidi" w:hAnsiTheme="minorBidi"/>
          <w:sz w:val="20"/>
          <w:szCs w:val="20"/>
          <w:shd w:val="clear" w:color="auto" w:fill="FFFFFF"/>
          <w:lang w:val="fr-CA"/>
        </w:rPr>
        <w:t>Liaison avec l’i</w:t>
      </w: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ndustrie pour les essais cliniques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Sélection et recrutement des patients 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Explication du formulaire de consentement et soutien aux p</w:t>
      </w:r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atients en l’absence d’infirmière </w:t>
      </w: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disponible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Réalisation des différents examens de l’étude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Suivi du patient lors de sa visite et arrimage avec la clinique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Collecte et gestion des données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Collaboration étroite avec les cliniciens, les chercheurs, le personne</w:t>
      </w:r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l hospitalier, l’infirmière de recherche, les étudiants</w:t>
      </w: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 et la compagnie dirigeant l’étude</w:t>
      </w:r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,</w:t>
      </w: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 s’il y a lieu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Mise à jour de la documentation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Tâches administratives diverses liées à l'emploi et assignées par le supérieur, le chef du département d’ophtalmologie</w:t>
      </w:r>
    </w:p>
    <w:p w:rsidR="00803436" w:rsidRPr="0039629A" w:rsidRDefault="00803436" w:rsidP="00803436">
      <w:pPr>
        <w:pStyle w:val="Titre1"/>
        <w:spacing w:before="240"/>
        <w:ind w:left="142" w:right="28"/>
        <w:jc w:val="both"/>
        <w:rPr>
          <w:rFonts w:ascii="Arial" w:hAnsi="Arial" w:cs="Arial"/>
          <w:b/>
          <w:i w:val="0"/>
          <w:color w:val="365F91" w:themeColor="accent1" w:themeShade="BF"/>
          <w:spacing w:val="1"/>
          <w:sz w:val="20"/>
          <w:szCs w:val="20"/>
          <w:u w:val="single"/>
          <w:lang w:val="fr-CA"/>
        </w:rPr>
      </w:pPr>
      <w:r w:rsidRPr="0039629A">
        <w:rPr>
          <w:rFonts w:ascii="Arial" w:hAnsi="Arial" w:cs="Arial"/>
          <w:b/>
          <w:i w:val="0"/>
          <w:color w:val="365F91" w:themeColor="accent1" w:themeShade="BF"/>
          <w:spacing w:val="1"/>
          <w:sz w:val="20"/>
          <w:szCs w:val="20"/>
          <w:u w:val="single"/>
          <w:lang w:val="fr-CA"/>
        </w:rPr>
        <w:t xml:space="preserve">Profil du </w:t>
      </w:r>
      <w:r w:rsidRPr="0039629A">
        <w:rPr>
          <w:rFonts w:ascii="Arial" w:hAnsi="Arial" w:cs="Arial"/>
          <w:b/>
          <w:i w:val="0"/>
          <w:color w:val="365F91" w:themeColor="accent1" w:themeShade="BF"/>
          <w:sz w:val="20"/>
          <w:szCs w:val="20"/>
          <w:u w:val="single"/>
          <w:lang w:val="fr-CA"/>
        </w:rPr>
        <w:t>candidat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Formation en sciences</w:t>
      </w:r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 xml:space="preserve"> (</w:t>
      </w:r>
      <w:proofErr w:type="spellStart"/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B.S</w:t>
      </w: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c</w:t>
      </w:r>
      <w:proofErr w:type="spellEnd"/>
      <w:r w:rsid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.</w:t>
      </w: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) ou sciences infirmières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Un minimum d’un an d’expérience en recherche clinique / essais cliniques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Connaissance générale des procédures et de la réglementation en recherche clinique et certification en éthique clinique serait un atout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Haut niveau d’organisation, rigueur scientifique, dynamisme et autonomie</w:t>
      </w:r>
    </w:p>
    <w:p w:rsidR="00803436" w:rsidRPr="009E05FA" w:rsidRDefault="00803436" w:rsidP="009E05FA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Capacité à travailler en équipe dans un environnement dynamique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Intéressé(e) par une expérience de travail soutenu au sein d'une équipe dynamique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Très bonne maîtrise du français et de l’anglais</w:t>
      </w:r>
    </w:p>
    <w:p w:rsidR="00803436" w:rsidRPr="009E05FA" w:rsidRDefault="00803436" w:rsidP="00803436">
      <w:pPr>
        <w:widowControl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993" w:right="146" w:hanging="425"/>
        <w:rPr>
          <w:rFonts w:asciiTheme="minorBidi" w:hAnsiTheme="minorBidi"/>
          <w:sz w:val="20"/>
          <w:szCs w:val="20"/>
          <w:shd w:val="clear" w:color="auto" w:fill="FFFFFF"/>
          <w:lang w:val="fr-CA"/>
        </w:rPr>
      </w:pPr>
      <w:r w:rsidRPr="009E05FA">
        <w:rPr>
          <w:rFonts w:asciiTheme="minorBidi" w:hAnsiTheme="minorBidi"/>
          <w:sz w:val="20"/>
          <w:szCs w:val="20"/>
          <w:shd w:val="clear" w:color="auto" w:fill="FFFFFF"/>
          <w:lang w:val="fr-CA"/>
        </w:rPr>
        <w:t>Maîtrise des logiciels de la suite Office</w:t>
      </w:r>
    </w:p>
    <w:p w:rsidR="00803436" w:rsidRPr="0039629A" w:rsidRDefault="00803436" w:rsidP="00803436">
      <w:pPr>
        <w:pStyle w:val="Titre1"/>
        <w:spacing w:before="240"/>
        <w:ind w:left="142" w:right="28"/>
        <w:jc w:val="both"/>
        <w:rPr>
          <w:rFonts w:ascii="Arial" w:hAnsi="Arial" w:cs="Arial"/>
          <w:b/>
          <w:i w:val="0"/>
          <w:color w:val="365F91" w:themeColor="accent1" w:themeShade="BF"/>
          <w:spacing w:val="1"/>
          <w:sz w:val="20"/>
          <w:szCs w:val="20"/>
          <w:u w:val="single"/>
          <w:lang w:val="fr-CA"/>
        </w:rPr>
      </w:pPr>
      <w:r w:rsidRPr="0039629A">
        <w:rPr>
          <w:rFonts w:ascii="Arial" w:hAnsi="Arial" w:cs="Arial"/>
          <w:b/>
          <w:i w:val="0"/>
          <w:color w:val="365F91" w:themeColor="accent1" w:themeShade="BF"/>
          <w:spacing w:val="1"/>
          <w:sz w:val="20"/>
          <w:szCs w:val="20"/>
          <w:u w:val="single"/>
          <w:lang w:val="fr-CA"/>
        </w:rPr>
        <w:t xml:space="preserve">Poste </w:t>
      </w:r>
      <w:r w:rsidRPr="0039629A">
        <w:rPr>
          <w:rFonts w:ascii="Arial" w:hAnsi="Arial" w:cs="Arial"/>
          <w:b/>
          <w:i w:val="0"/>
          <w:color w:val="365F91" w:themeColor="accent1" w:themeShade="BF"/>
          <w:sz w:val="20"/>
          <w:szCs w:val="20"/>
          <w:u w:val="single"/>
          <w:lang w:val="fr-CA"/>
        </w:rPr>
        <w:t>disponible</w:t>
      </w:r>
    </w:p>
    <w:p w:rsidR="00803436" w:rsidRPr="00850CD2" w:rsidRDefault="00803436" w:rsidP="00803436">
      <w:pPr>
        <w:pStyle w:val="Corpsdetexte"/>
        <w:ind w:left="142" w:right="27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 w:rsidRPr="00850CD2">
        <w:rPr>
          <w:rFonts w:ascii="Arial" w:hAnsi="Arial" w:cs="Arial"/>
          <w:b/>
          <w:bCs/>
          <w:sz w:val="20"/>
          <w:szCs w:val="20"/>
          <w:lang w:val="fr-CA"/>
        </w:rPr>
        <w:t>Temps</w:t>
      </w:r>
      <w:r w:rsidRPr="00850CD2">
        <w:rPr>
          <w:rFonts w:ascii="Arial" w:hAnsi="Arial" w:cs="Arial"/>
          <w:b/>
          <w:bCs/>
          <w:spacing w:val="-6"/>
          <w:sz w:val="20"/>
          <w:szCs w:val="20"/>
          <w:lang w:val="fr-CA"/>
        </w:rPr>
        <w:t xml:space="preserve"> </w:t>
      </w:r>
      <w:r w:rsidR="001666C1">
        <w:rPr>
          <w:rFonts w:ascii="Arial" w:hAnsi="Arial" w:cs="Arial"/>
          <w:b/>
          <w:bCs/>
          <w:sz w:val="20"/>
          <w:szCs w:val="20"/>
          <w:lang w:val="fr-CA"/>
        </w:rPr>
        <w:t>plein</w:t>
      </w:r>
      <w:r w:rsidRPr="00850CD2">
        <w:rPr>
          <w:rFonts w:ascii="Arial" w:hAnsi="Arial" w:cs="Arial"/>
          <w:b/>
          <w:bCs/>
          <w:sz w:val="20"/>
          <w:szCs w:val="20"/>
          <w:lang w:val="fr-CA"/>
        </w:rPr>
        <w:t xml:space="preserve"> selon la disponibilité du candidat choisi</w:t>
      </w:r>
    </w:p>
    <w:p w:rsidR="00803436" w:rsidRPr="009E05FA" w:rsidRDefault="00803436" w:rsidP="00803436">
      <w:pPr>
        <w:pStyle w:val="Corpsdetexte"/>
        <w:ind w:left="142" w:right="27"/>
        <w:jc w:val="both"/>
        <w:rPr>
          <w:rFonts w:cs="Times New Roman"/>
          <w:spacing w:val="-5"/>
          <w:sz w:val="20"/>
          <w:szCs w:val="20"/>
          <w:lang w:val="fr-CA"/>
        </w:rPr>
      </w:pPr>
      <w:r w:rsidRPr="009E05FA">
        <w:rPr>
          <w:rFonts w:cs="Times New Roman"/>
          <w:sz w:val="20"/>
          <w:szCs w:val="20"/>
          <w:lang w:val="fr-CA"/>
        </w:rPr>
        <w:t>D</w:t>
      </w:r>
      <w:r w:rsidRPr="009E05FA">
        <w:rPr>
          <w:rFonts w:cs="Times New Roman"/>
          <w:spacing w:val="-1"/>
          <w:sz w:val="20"/>
          <w:szCs w:val="20"/>
          <w:lang w:val="fr-CA"/>
        </w:rPr>
        <w:t>i</w:t>
      </w:r>
      <w:r w:rsidRPr="009E05FA">
        <w:rPr>
          <w:rFonts w:cs="Times New Roman"/>
          <w:sz w:val="20"/>
          <w:szCs w:val="20"/>
          <w:lang w:val="fr-CA"/>
        </w:rPr>
        <w:t>sponible</w:t>
      </w:r>
      <w:r w:rsidRPr="009E05FA">
        <w:rPr>
          <w:rFonts w:cs="Times New Roman"/>
          <w:spacing w:val="-5"/>
          <w:sz w:val="20"/>
          <w:szCs w:val="20"/>
          <w:lang w:val="fr-CA"/>
        </w:rPr>
        <w:t xml:space="preserve"> </w:t>
      </w:r>
      <w:r w:rsidRPr="009E05FA">
        <w:rPr>
          <w:rFonts w:cs="Times New Roman"/>
          <w:sz w:val="20"/>
          <w:szCs w:val="20"/>
          <w:lang w:val="fr-CA"/>
        </w:rPr>
        <w:t>dès maintenant</w:t>
      </w:r>
      <w:r w:rsidRPr="009E05FA">
        <w:rPr>
          <w:rFonts w:cs="Times New Roman"/>
          <w:spacing w:val="-5"/>
          <w:sz w:val="20"/>
          <w:szCs w:val="20"/>
          <w:lang w:val="fr-CA"/>
        </w:rPr>
        <w:t xml:space="preserve">. </w:t>
      </w:r>
      <w:r w:rsidRPr="009E05FA">
        <w:rPr>
          <w:rFonts w:cs="Times New Roman"/>
          <w:sz w:val="20"/>
          <w:szCs w:val="20"/>
          <w:lang w:val="fr-CA"/>
        </w:rPr>
        <w:t>Rémunération</w:t>
      </w:r>
      <w:r w:rsidRPr="009E05FA">
        <w:rPr>
          <w:rFonts w:cs="Times New Roman"/>
          <w:spacing w:val="-12"/>
          <w:sz w:val="20"/>
          <w:szCs w:val="20"/>
          <w:lang w:val="fr-CA"/>
        </w:rPr>
        <w:t xml:space="preserve"> </w:t>
      </w:r>
      <w:r w:rsidRPr="009E05FA">
        <w:rPr>
          <w:rFonts w:cs="Times New Roman"/>
          <w:sz w:val="20"/>
          <w:szCs w:val="20"/>
          <w:lang w:val="fr-CA"/>
        </w:rPr>
        <w:t>selon</w:t>
      </w:r>
      <w:r w:rsidRPr="009E05FA">
        <w:rPr>
          <w:rFonts w:cs="Times New Roman"/>
          <w:spacing w:val="-11"/>
          <w:sz w:val="20"/>
          <w:szCs w:val="20"/>
          <w:lang w:val="fr-CA"/>
        </w:rPr>
        <w:t xml:space="preserve"> </w:t>
      </w:r>
      <w:r w:rsidRPr="009E05FA">
        <w:rPr>
          <w:rFonts w:cs="Times New Roman"/>
          <w:sz w:val="20"/>
          <w:szCs w:val="20"/>
          <w:lang w:val="fr-CA"/>
        </w:rPr>
        <w:t>formation et expérience.</w:t>
      </w:r>
    </w:p>
    <w:p w:rsidR="00803436" w:rsidRDefault="00803436" w:rsidP="00803436">
      <w:pPr>
        <w:pStyle w:val="Corpsdetexte"/>
        <w:ind w:left="142" w:right="27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9E05FA">
        <w:rPr>
          <w:rFonts w:cs="Times New Roman"/>
          <w:sz w:val="20"/>
          <w:szCs w:val="20"/>
          <w:lang w:val="fr-CA"/>
        </w:rPr>
        <w:t xml:space="preserve">Les personnes intéressées doivent faire </w:t>
      </w:r>
      <w:r w:rsidRPr="009E05FA">
        <w:rPr>
          <w:rFonts w:cs="Times New Roman"/>
          <w:color w:val="000000" w:themeColor="text1"/>
          <w:sz w:val="20"/>
          <w:szCs w:val="20"/>
          <w:lang w:val="fr-CA"/>
        </w:rPr>
        <w:t>parvenir leur CV, ainsi qu’une lettre de présentation</w:t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>.</w:t>
      </w:r>
    </w:p>
    <w:p w:rsidR="00803436" w:rsidRDefault="00803436" w:rsidP="00803436">
      <w:pPr>
        <w:pStyle w:val="Corpsdetexte"/>
        <w:ind w:left="142" w:right="27"/>
        <w:jc w:val="both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803436" w:rsidRPr="0039629A" w:rsidRDefault="00803436" w:rsidP="00803436">
      <w:pPr>
        <w:pStyle w:val="Corpsdetexte"/>
        <w:ind w:left="142" w:right="27"/>
        <w:jc w:val="both"/>
        <w:rPr>
          <w:rFonts w:ascii="Arial" w:hAnsi="Arial" w:cs="Arial"/>
          <w:color w:val="365F91" w:themeColor="accent1" w:themeShade="BF"/>
          <w:sz w:val="20"/>
          <w:szCs w:val="20"/>
          <w:u w:val="single"/>
          <w:lang w:val="fr-CA"/>
        </w:rPr>
      </w:pPr>
      <w:proofErr w:type="gramStart"/>
      <w:r w:rsidRPr="0039629A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fr-CA"/>
        </w:rPr>
        <w:t>Personne</w:t>
      </w:r>
      <w:r w:rsidRPr="0039629A">
        <w:rPr>
          <w:rFonts w:ascii="Arial" w:hAnsi="Arial" w:cs="Arial"/>
          <w:b/>
          <w:color w:val="365F91" w:themeColor="accent1" w:themeShade="BF"/>
          <w:spacing w:val="1"/>
          <w:sz w:val="20"/>
          <w:szCs w:val="20"/>
          <w:u w:val="single"/>
          <w:lang w:val="fr-CA"/>
        </w:rPr>
        <w:t xml:space="preserve"> </w:t>
      </w:r>
      <w:r w:rsidRPr="0039629A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fr-CA"/>
        </w:rPr>
        <w:t>ressource</w:t>
      </w:r>
      <w:proofErr w:type="gramEnd"/>
    </w:p>
    <w:p w:rsidR="00803436" w:rsidRPr="00850CD2" w:rsidRDefault="00803436" w:rsidP="00803436">
      <w:pPr>
        <w:pStyle w:val="Corpsdetexte"/>
        <w:ind w:left="142" w:right="27"/>
        <w:jc w:val="both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  <w:r w:rsidRPr="00850CD2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Veuillez nous transmettre votre candidature avant le </w:t>
      </w:r>
      <w:r w:rsidR="00D01564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15 novembre</w:t>
      </w:r>
      <w:r w:rsidRPr="00850CD2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 2020</w:t>
      </w:r>
    </w:p>
    <w:p w:rsidR="00803436" w:rsidRPr="00181CA1" w:rsidRDefault="00803436" w:rsidP="00803436">
      <w:pPr>
        <w:rPr>
          <w:rFonts w:ascii="Arial" w:eastAsia="Arial" w:hAnsi="Arial" w:cs="Arial"/>
        </w:rPr>
      </w:pPr>
      <w:r w:rsidRPr="00181CA1">
        <w:rPr>
          <w:rFonts w:ascii="Arial" w:eastAsia="Arial" w:hAnsi="Arial" w:cs="Arial"/>
        </w:rPr>
        <w:t xml:space="preserve">   </w:t>
      </w:r>
      <w:proofErr w:type="spellStart"/>
      <w:r w:rsidRPr="00181CA1">
        <w:rPr>
          <w:rFonts w:ascii="Arial" w:eastAsia="Arial" w:hAnsi="Arial" w:cs="Arial"/>
        </w:rPr>
        <w:t>Nadja</w:t>
      </w:r>
      <w:proofErr w:type="spellEnd"/>
      <w:r w:rsidRPr="00181CA1">
        <w:rPr>
          <w:rFonts w:ascii="Arial" w:eastAsia="Arial" w:hAnsi="Arial" w:cs="Arial"/>
        </w:rPr>
        <w:t xml:space="preserve"> </w:t>
      </w:r>
      <w:proofErr w:type="gramStart"/>
      <w:r w:rsidRPr="00181CA1">
        <w:rPr>
          <w:rFonts w:ascii="Arial" w:eastAsia="Arial" w:hAnsi="Arial" w:cs="Arial"/>
        </w:rPr>
        <w:t>David :</w:t>
      </w:r>
      <w:proofErr w:type="gramEnd"/>
      <w:r w:rsidRPr="00181CA1">
        <w:rPr>
          <w:rFonts w:ascii="Arial" w:eastAsia="Arial" w:hAnsi="Arial" w:cs="Arial"/>
        </w:rPr>
        <w:t xml:space="preserve"> nadja.david.cemtl@ssss.gouv.qc.ca</w:t>
      </w:r>
    </w:p>
    <w:p w:rsidR="00803436" w:rsidRPr="00850CD2" w:rsidRDefault="00803436" w:rsidP="00803436">
      <w:pPr>
        <w:rPr>
          <w:rFonts w:ascii="Arial" w:hAnsi="Arial" w:cs="Arial"/>
          <w:sz w:val="20"/>
          <w:szCs w:val="20"/>
          <w:lang w:val="it-IT"/>
        </w:rPr>
      </w:pPr>
    </w:p>
    <w:p w:rsidR="009F4566" w:rsidRDefault="009F4566"/>
    <w:sectPr w:rsidR="009F4566" w:rsidSect="00803436"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1782" w:right="1298" w:bottom="278" w:left="1582" w:header="468" w:footer="720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8E" w:rsidRDefault="0029668E" w:rsidP="001E23AB">
      <w:r>
        <w:separator/>
      </w:r>
    </w:p>
  </w:endnote>
  <w:endnote w:type="continuationSeparator" w:id="0">
    <w:p w:rsidR="0029668E" w:rsidRDefault="0029668E" w:rsidP="001E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E3" w:rsidRDefault="0080343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E3" w:rsidRDefault="0080343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8E" w:rsidRDefault="0029668E" w:rsidP="001E23AB">
      <w:r>
        <w:separator/>
      </w:r>
    </w:p>
  </w:footnote>
  <w:footnote w:type="continuationSeparator" w:id="0">
    <w:p w:rsidR="0029668E" w:rsidRDefault="0029668E" w:rsidP="001E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DB" w:rsidRDefault="0029668E" w:rsidP="00BD57CA">
    <w:pPr>
      <w:ind w:left="-142" w:right="-138"/>
      <w:jc w:val="center"/>
      <w:rPr>
        <w:lang w:val="fr-CA"/>
      </w:rPr>
    </w:pPr>
  </w:p>
  <w:p w:rsidR="00C12DDB" w:rsidRDefault="00803436" w:rsidP="00BD57CA">
    <w:pPr>
      <w:ind w:left="-142" w:right="-138"/>
      <w:jc w:val="center"/>
      <w:rPr>
        <w:lang w:val="fr-CA"/>
      </w:rPr>
    </w:pPr>
    <w:r w:rsidRPr="00902BAA">
      <w:rPr>
        <w:rFonts w:ascii="Arial" w:eastAsia="Times New Roman" w:hAnsi="Arial" w:cs="Arial"/>
        <w:b/>
        <w:noProof/>
        <w:color w:val="3075C8"/>
        <w:spacing w:val="35"/>
        <w:sz w:val="41"/>
        <w:szCs w:val="41"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97888</wp:posOffset>
          </wp:positionV>
          <wp:extent cx="5943600" cy="1165860"/>
          <wp:effectExtent l="0" t="0" r="0" b="2540"/>
          <wp:wrapSquare wrapText="bothSides"/>
          <wp:docPr id="5" name="Image 8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58D0755-2D14-AE49-9137-149D2A786D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58D0755-2D14-AE49-9137-149D2A786D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2255" b="5476"/>
                  <a:stretch/>
                </pic:blipFill>
                <pic:spPr>
                  <a:xfrm>
                    <a:off x="0" y="0"/>
                    <a:ext cx="5943600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57CA" w:rsidRPr="00902BAA" w:rsidRDefault="00803436" w:rsidP="00C90F4E">
    <w:pPr>
      <w:ind w:left="-142" w:right="-136"/>
      <w:jc w:val="center"/>
      <w:rPr>
        <w:rFonts w:ascii="Arial" w:eastAsia="Times New Roman" w:hAnsi="Arial" w:cs="Arial"/>
        <w:b/>
        <w:color w:val="3075C8"/>
        <w:spacing w:val="35"/>
        <w:sz w:val="41"/>
        <w:szCs w:val="41"/>
        <w:lang w:val="fr-CA"/>
      </w:rPr>
    </w:pPr>
    <w:r w:rsidRPr="008E51E0">
      <w:rPr>
        <w:rFonts w:ascii="Arial" w:eastAsia="Times New Roman" w:hAnsi="Arial" w:cs="Arial"/>
        <w:b/>
        <w:color w:val="3075C8"/>
        <w:spacing w:val="35"/>
        <w:sz w:val="41"/>
        <w:szCs w:val="41"/>
        <w:lang w:val="fr-CA"/>
      </w:rPr>
      <w:t>Poste d’assistant(e)de recherche</w:t>
    </w:r>
    <w:r w:rsidRPr="00902BAA">
      <w:rPr>
        <w:rFonts w:ascii="Arial" w:eastAsia="Times New Roman" w:hAnsi="Arial" w:cs="Arial"/>
        <w:b/>
        <w:color w:val="3075C8"/>
        <w:spacing w:val="35"/>
        <w:sz w:val="41"/>
        <w:szCs w:val="41"/>
        <w:lang w:val="fr-CA"/>
      </w:rPr>
      <w:t xml:space="preserve"> c</w:t>
    </w:r>
    <w:r w:rsidRPr="008E51E0">
      <w:rPr>
        <w:rFonts w:ascii="Arial" w:eastAsia="Times New Roman" w:hAnsi="Arial" w:cs="Arial"/>
        <w:b/>
        <w:color w:val="3075C8"/>
        <w:spacing w:val="35"/>
        <w:sz w:val="41"/>
        <w:szCs w:val="41"/>
        <w:lang w:val="fr-CA"/>
      </w:rPr>
      <w:t>linique</w:t>
    </w:r>
  </w:p>
  <w:p w:rsidR="00BD57CA" w:rsidRPr="008E51E0" w:rsidRDefault="00803436" w:rsidP="00BD57CA">
    <w:pPr>
      <w:pStyle w:val="Titre2"/>
      <w:jc w:val="center"/>
      <w:rPr>
        <w:rFonts w:ascii="Arial" w:hAnsi="Arial" w:cs="Arial"/>
        <w:b/>
        <w:color w:val="3075C8"/>
        <w:lang w:val="fr-CA"/>
      </w:rPr>
    </w:pPr>
    <w:r w:rsidRPr="008E51E0">
      <w:rPr>
        <w:rFonts w:ascii="Arial" w:hAnsi="Arial" w:cs="Arial"/>
        <w:b/>
        <w:color w:val="3075C8"/>
        <w:lang w:val="fr-CA"/>
      </w:rPr>
      <w:t>Centre Universitaire d’</w:t>
    </w:r>
    <w:r>
      <w:rPr>
        <w:rFonts w:ascii="Arial" w:hAnsi="Arial" w:cs="Arial"/>
        <w:b/>
        <w:color w:val="3075C8"/>
        <w:lang w:val="fr-CA"/>
      </w:rPr>
      <w:t>O</w:t>
    </w:r>
    <w:r w:rsidRPr="008E51E0">
      <w:rPr>
        <w:rFonts w:ascii="Arial" w:hAnsi="Arial" w:cs="Arial"/>
        <w:b/>
        <w:color w:val="3075C8"/>
        <w:lang w:val="fr-CA"/>
      </w:rPr>
      <w:t>phtalmologie de l’Université de Montréal</w:t>
    </w:r>
  </w:p>
  <w:p w:rsidR="006015E3" w:rsidRPr="002C672E" w:rsidRDefault="00803436" w:rsidP="002C672E">
    <w:pPr>
      <w:ind w:left="4"/>
      <w:jc w:val="center"/>
      <w:rPr>
        <w:rFonts w:ascii="Arial" w:eastAsia="Times New Roman" w:hAnsi="Arial" w:cs="Arial"/>
        <w:color w:val="3075C8"/>
        <w:sz w:val="29"/>
        <w:szCs w:val="29"/>
        <w:lang w:val="fr-CA"/>
      </w:rPr>
    </w:pPr>
    <w:proofErr w:type="gramStart"/>
    <w:r w:rsidRPr="008E51E0">
      <w:rPr>
        <w:rFonts w:ascii="Arial" w:eastAsia="Times New Roman" w:hAnsi="Arial" w:cs="Arial"/>
        <w:color w:val="3075C8"/>
        <w:sz w:val="29"/>
        <w:szCs w:val="29"/>
        <w:lang w:val="fr-CA"/>
      </w:rPr>
      <w:t>à</w:t>
    </w:r>
    <w:proofErr w:type="gramEnd"/>
    <w:r w:rsidRPr="008E51E0">
      <w:rPr>
        <w:rFonts w:ascii="Arial" w:eastAsia="Times New Roman" w:hAnsi="Arial" w:cs="Arial"/>
        <w:color w:val="3075C8"/>
        <w:spacing w:val="34"/>
        <w:sz w:val="29"/>
        <w:szCs w:val="29"/>
        <w:lang w:val="fr-CA"/>
      </w:rPr>
      <w:t xml:space="preserve"> </w:t>
    </w:r>
    <w:r w:rsidRPr="008E51E0">
      <w:rPr>
        <w:rFonts w:ascii="Arial" w:eastAsia="Times New Roman" w:hAnsi="Arial" w:cs="Arial"/>
        <w:color w:val="3075C8"/>
        <w:sz w:val="29"/>
        <w:szCs w:val="29"/>
        <w:lang w:val="fr-CA"/>
      </w:rPr>
      <w:t>l’Hôpital</w:t>
    </w:r>
    <w:r w:rsidRPr="008E51E0">
      <w:rPr>
        <w:rFonts w:ascii="Arial" w:eastAsia="Times New Roman" w:hAnsi="Arial" w:cs="Arial"/>
        <w:color w:val="3075C8"/>
        <w:spacing w:val="34"/>
        <w:sz w:val="29"/>
        <w:szCs w:val="29"/>
        <w:lang w:val="fr-CA"/>
      </w:rPr>
      <w:t xml:space="preserve"> </w:t>
    </w:r>
    <w:r w:rsidRPr="008E51E0">
      <w:rPr>
        <w:rFonts w:ascii="Arial" w:eastAsia="Times New Roman" w:hAnsi="Arial" w:cs="Arial"/>
        <w:color w:val="3075C8"/>
        <w:spacing w:val="1"/>
        <w:sz w:val="29"/>
        <w:szCs w:val="29"/>
        <w:lang w:val="fr-CA"/>
      </w:rPr>
      <w:t>M</w:t>
    </w:r>
    <w:r w:rsidRPr="008E51E0">
      <w:rPr>
        <w:rFonts w:ascii="Arial" w:eastAsia="Times New Roman" w:hAnsi="Arial" w:cs="Arial"/>
        <w:color w:val="3075C8"/>
        <w:sz w:val="29"/>
        <w:szCs w:val="29"/>
        <w:lang w:val="fr-CA"/>
      </w:rPr>
      <w:t>aisonneuv</w:t>
    </w:r>
    <w:r w:rsidRPr="008E51E0">
      <w:rPr>
        <w:rFonts w:ascii="Arial" w:eastAsia="Times New Roman" w:hAnsi="Arial" w:cs="Arial"/>
        <w:color w:val="3075C8"/>
        <w:spacing w:val="-2"/>
        <w:sz w:val="29"/>
        <w:szCs w:val="29"/>
        <w:lang w:val="fr-CA"/>
      </w:rPr>
      <w:t>e</w:t>
    </w:r>
    <w:r w:rsidRPr="008E51E0">
      <w:rPr>
        <w:rFonts w:ascii="Arial" w:eastAsia="Times New Roman" w:hAnsi="Arial" w:cs="Arial"/>
        <w:color w:val="3075C8"/>
        <w:sz w:val="29"/>
        <w:szCs w:val="29"/>
        <w:lang w:val="fr-CA"/>
      </w:rPr>
      <w:t>-</w:t>
    </w:r>
    <w:proofErr w:type="spellStart"/>
    <w:r w:rsidRPr="008E51E0">
      <w:rPr>
        <w:rFonts w:ascii="Arial" w:eastAsia="Times New Roman" w:hAnsi="Arial" w:cs="Arial"/>
        <w:color w:val="3075C8"/>
        <w:sz w:val="29"/>
        <w:szCs w:val="29"/>
        <w:lang w:val="fr-CA"/>
      </w:rPr>
      <w:t>Rosemont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E3" w:rsidRDefault="0080343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3DD"/>
    <w:multiLevelType w:val="hybridMultilevel"/>
    <w:tmpl w:val="2EACC646"/>
    <w:lvl w:ilvl="0" w:tplc="6974E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4"/>
        <w:szCs w:val="24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436"/>
    <w:rsid w:val="00073C5D"/>
    <w:rsid w:val="000C1687"/>
    <w:rsid w:val="001666C1"/>
    <w:rsid w:val="001E23AB"/>
    <w:rsid w:val="0029668E"/>
    <w:rsid w:val="00500A37"/>
    <w:rsid w:val="007119E8"/>
    <w:rsid w:val="00803436"/>
    <w:rsid w:val="00811A44"/>
    <w:rsid w:val="008D5DDC"/>
    <w:rsid w:val="009E05FA"/>
    <w:rsid w:val="009F4566"/>
    <w:rsid w:val="00A801B3"/>
    <w:rsid w:val="00D01564"/>
    <w:rsid w:val="00E0015A"/>
    <w:rsid w:val="00E66C87"/>
    <w:rsid w:val="00EA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436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803436"/>
    <w:pPr>
      <w:ind w:left="115"/>
      <w:outlineLvl w:val="0"/>
    </w:pPr>
    <w:rPr>
      <w:rFonts w:ascii="Times New Roman" w:eastAsia="Times New Roman" w:hAnsi="Times New Roman"/>
      <w:i/>
      <w:sz w:val="31"/>
      <w:szCs w:val="31"/>
    </w:rPr>
  </w:style>
  <w:style w:type="paragraph" w:styleId="Titre2">
    <w:name w:val="heading 2"/>
    <w:basedOn w:val="Normal"/>
    <w:link w:val="Titre2Car"/>
    <w:uiPriority w:val="1"/>
    <w:qFormat/>
    <w:rsid w:val="00803436"/>
    <w:pPr>
      <w:ind w:left="2"/>
      <w:outlineLvl w:val="1"/>
    </w:pPr>
    <w:rPr>
      <w:rFonts w:ascii="Times New Roman" w:eastAsia="Times New Roman" w:hAnsi="Times New Roman"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03436"/>
    <w:rPr>
      <w:rFonts w:ascii="Times New Roman" w:eastAsia="Times New Roman" w:hAnsi="Times New Roman"/>
      <w:i/>
      <w:sz w:val="31"/>
      <w:szCs w:val="3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03436"/>
    <w:rPr>
      <w:rFonts w:ascii="Times New Roman" w:eastAsia="Times New Roman" w:hAnsi="Times New Roman"/>
      <w:sz w:val="29"/>
      <w:szCs w:val="29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03436"/>
    <w:pPr>
      <w:ind w:left="115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0343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2020-09-28T13:44:00Z</dcterms:created>
  <dcterms:modified xsi:type="dcterms:W3CDTF">2020-09-29T12:21:00Z</dcterms:modified>
</cp:coreProperties>
</file>